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A3" w:rsidRDefault="00017C84">
      <w:pPr>
        <w:tabs>
          <w:tab w:val="left" w:pos="12123"/>
        </w:tabs>
        <w:spacing w:line="540" w:lineRule="exact"/>
        <w:rPr>
          <w:rFonts w:ascii="Times New Roman" w:eastAsia="方正黑体_GBK" w:hAnsi="Times New Roman" w:cs="Times New Roman"/>
          <w:bCs/>
          <w:sz w:val="30"/>
          <w:szCs w:val="30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</w:t>
      </w:r>
      <w:r>
        <w:rPr>
          <w:rFonts w:ascii="Times New Roman" w:eastAsia="方正黑体_GBK" w:hAnsi="Times New Roman" w:cs="Times New Roman"/>
          <w:sz w:val="32"/>
          <w:szCs w:val="32"/>
        </w:rPr>
        <w:t>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ab/>
      </w:r>
    </w:p>
    <w:p w:rsidR="00CA47A3" w:rsidRDefault="00017C84">
      <w:pPr>
        <w:pStyle w:val="a4"/>
        <w:spacing w:beforeAutospacing="0" w:afterAutospacing="0" w:line="520" w:lineRule="exact"/>
        <w:ind w:firstLineChars="600" w:firstLine="2160"/>
        <w:jc w:val="both"/>
        <w:rPr>
          <w:rFonts w:ascii="黑体" w:eastAsia="黑体" w:hAnsi="黑体" w:cs="黑体"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bidi="ar"/>
        </w:rPr>
        <w:t>四川省农业科学院作物研究所</w:t>
      </w:r>
      <w:r>
        <w:rPr>
          <w:rFonts w:ascii="黑体" w:eastAsia="黑体" w:hAnsi="黑体" w:cs="黑体" w:hint="eastAsia"/>
          <w:color w:val="333333"/>
          <w:sz w:val="36"/>
          <w:szCs w:val="36"/>
        </w:rPr>
        <w:t>（四川省种质资源中心）</w:t>
      </w:r>
    </w:p>
    <w:p w:rsidR="00CA47A3" w:rsidRDefault="00017C84">
      <w:pPr>
        <w:ind w:firstLineChars="600" w:firstLine="2160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2024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年公开考核招聘工作人员岗位和条件要求一览表</w:t>
      </w:r>
      <w:bookmarkStart w:id="0" w:name="_GoBack"/>
      <w:bookmarkEnd w:id="0"/>
    </w:p>
    <w:tbl>
      <w:tblPr>
        <w:tblW w:w="12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746"/>
        <w:gridCol w:w="774"/>
        <w:gridCol w:w="1068"/>
        <w:gridCol w:w="1085"/>
        <w:gridCol w:w="955"/>
        <w:gridCol w:w="1372"/>
        <w:gridCol w:w="2251"/>
        <w:gridCol w:w="1718"/>
        <w:gridCol w:w="1797"/>
      </w:tblGrid>
      <w:tr w:rsidR="00CA47A3">
        <w:trPr>
          <w:cantSplit/>
          <w:trHeight w:hRule="exact" w:val="737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招聘单位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招聘类别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招聘岗位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招聘人数</w:t>
            </w:r>
          </w:p>
        </w:tc>
        <w:tc>
          <w:tcPr>
            <w:tcW w:w="6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条件要求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</w:tr>
      <w:tr w:rsidR="00CA47A3">
        <w:trPr>
          <w:cantSplit/>
          <w:trHeight w:hRule="exact" w:val="737"/>
          <w:jc w:val="center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CA47A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CA47A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Cs w:val="21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类别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岗位名称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CA47A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年龄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学历学位</w:t>
            </w:r>
          </w:p>
          <w:p w:rsidR="00CA47A3" w:rsidRDefault="00017C84">
            <w:pPr>
              <w:pStyle w:val="a3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或职称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专业条件要求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其他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A3" w:rsidRDefault="00CA47A3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CA47A3">
        <w:trPr>
          <w:cantSplit/>
          <w:trHeight w:val="1560"/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四川省农业科学院作物研究所（四川省种质资源中心）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考</w:t>
            </w:r>
            <w:r>
              <w:rPr>
                <w:rFonts w:eastAsia="仿宋_GB2312" w:cs="Times New Roman" w:hint="eastAsia"/>
                <w:szCs w:val="21"/>
              </w:rPr>
              <w:t>核</w:t>
            </w:r>
            <w:r>
              <w:rPr>
                <w:rFonts w:ascii="Times New Roman" w:eastAsia="仿宋_GB2312" w:hAnsi="Times New Roman" w:cs="Times New Roman"/>
                <w:szCs w:val="21"/>
              </w:rPr>
              <w:t>招聘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专技岗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水稻遗传育种</w:t>
            </w:r>
            <w:r>
              <w:rPr>
                <w:rFonts w:ascii="Times New Roman" w:eastAsia="仿宋_GB2312" w:hAnsi="Times New Roman" w:cs="Times New Roman"/>
                <w:szCs w:val="21"/>
              </w:rPr>
              <w:t>科研岗位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19</w:t>
            </w:r>
            <w:r>
              <w:rPr>
                <w:rFonts w:eastAsia="仿宋_GB2312" w:cs="Times New Roman" w:hint="eastAsia"/>
                <w:szCs w:val="21"/>
              </w:rPr>
              <w:t>88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日及以后出生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博士研究生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作物遗传育种专业或</w:t>
            </w:r>
            <w:r>
              <w:rPr>
                <w:rFonts w:eastAsia="仿宋_GB2312" w:cs="Times New Roman" w:hint="eastAsia"/>
                <w:szCs w:val="21"/>
              </w:rPr>
              <w:t>生物化学与分子生物学专业或作物种质资源学专业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CA47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CA47A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A47A3">
        <w:trPr>
          <w:cantSplit/>
          <w:trHeight w:val="977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CA47A3">
            <w:pPr>
              <w:spacing w:before="100" w:beforeAutospacing="1" w:after="100" w:afterAutospacing="1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CA47A3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Style w:val="NormalCharacter"/>
                <w:rFonts w:eastAsia="仿宋_GB2312"/>
                <w:szCs w:val="21"/>
              </w:rPr>
              <w:t>专技岗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玉米遗传育种</w:t>
            </w:r>
            <w:r>
              <w:rPr>
                <w:rFonts w:ascii="Times New Roman" w:eastAsia="仿宋_GB2312" w:hAnsi="Times New Roman" w:cs="Times New Roman"/>
                <w:szCs w:val="21"/>
              </w:rPr>
              <w:t>科研</w:t>
            </w:r>
          </w:p>
          <w:p w:rsidR="00CA47A3" w:rsidRDefault="00017C84">
            <w:pPr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岗位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19</w:t>
            </w:r>
            <w:r>
              <w:rPr>
                <w:rFonts w:eastAsia="仿宋_GB2312" w:cs="Times New Roman" w:hint="eastAsia"/>
                <w:szCs w:val="21"/>
              </w:rPr>
              <w:t>88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日及以后出生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eastAsia="仿宋_GB2312"/>
                <w:szCs w:val="21"/>
              </w:rPr>
              <w:t>博士研究生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017C84">
            <w:pPr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作物遗传育种</w:t>
            </w:r>
            <w:r>
              <w:rPr>
                <w:rFonts w:eastAsia="仿宋_GB2312" w:hint="eastAsia"/>
                <w:szCs w:val="21"/>
              </w:rPr>
              <w:t>专业或</w:t>
            </w:r>
            <w:r>
              <w:rPr>
                <w:rFonts w:eastAsia="仿宋_GB2312" w:cs="Times New Roman" w:hint="eastAsia"/>
                <w:szCs w:val="21"/>
              </w:rPr>
              <w:t>作物栽培学与耕作学</w:t>
            </w:r>
            <w:r>
              <w:rPr>
                <w:rFonts w:eastAsia="仿宋_GB2312" w:hint="eastAsia"/>
                <w:szCs w:val="21"/>
              </w:rPr>
              <w:t>专业或</w:t>
            </w:r>
            <w:r>
              <w:rPr>
                <w:rFonts w:eastAsia="仿宋_GB2312" w:cs="Times New Roman" w:hint="eastAsia"/>
                <w:szCs w:val="21"/>
              </w:rPr>
              <w:t>植物病理学</w:t>
            </w:r>
            <w:r>
              <w:rPr>
                <w:rFonts w:eastAsia="仿宋_GB2312" w:hint="eastAsia"/>
                <w:szCs w:val="21"/>
              </w:rPr>
              <w:t>专业或</w:t>
            </w:r>
            <w:r>
              <w:rPr>
                <w:rFonts w:eastAsia="仿宋_GB2312" w:cs="Times New Roman" w:hint="eastAsia"/>
                <w:szCs w:val="21"/>
              </w:rPr>
              <w:t>生物化学与分子生物学专业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CA47A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A3" w:rsidRDefault="00CA47A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CA47A3" w:rsidRDefault="00CA47A3">
      <w:pPr>
        <w:pStyle w:val="a4"/>
        <w:spacing w:beforeAutospacing="0" w:afterAutospacing="0" w:line="520" w:lineRule="exact"/>
        <w:rPr>
          <w:rFonts w:ascii="Times New Roman" w:eastAsia="宋体"/>
          <w:color w:val="333333"/>
        </w:rPr>
      </w:pPr>
    </w:p>
    <w:sectPr w:rsidR="00CA47A3"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84" w:rsidRDefault="00017C84" w:rsidP="00EC52AB">
      <w:r>
        <w:separator/>
      </w:r>
    </w:p>
  </w:endnote>
  <w:endnote w:type="continuationSeparator" w:id="0">
    <w:p w:rsidR="00017C84" w:rsidRDefault="00017C84" w:rsidP="00EC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84" w:rsidRDefault="00017C84" w:rsidP="00EC52AB">
      <w:r>
        <w:separator/>
      </w:r>
    </w:p>
  </w:footnote>
  <w:footnote w:type="continuationSeparator" w:id="0">
    <w:p w:rsidR="00017C84" w:rsidRDefault="00017C84" w:rsidP="00EC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YjBkMzU4OTk0M2I4ZjgwYmFhM2QyNTMwZTQ2ZTYifQ=="/>
    <w:docVar w:name="KSO_WPS_MARK_KEY" w:val="1f38d3a1-d6b5-4133-9c4e-5c26e9ff9bf6"/>
  </w:docVars>
  <w:rsids>
    <w:rsidRoot w:val="00CA47A3"/>
    <w:rsid w:val="FA7E895C"/>
    <w:rsid w:val="00017C84"/>
    <w:rsid w:val="00CA47A3"/>
    <w:rsid w:val="00EC52AB"/>
    <w:rsid w:val="0EB7162D"/>
    <w:rsid w:val="128B4FFF"/>
    <w:rsid w:val="1DC75A85"/>
    <w:rsid w:val="22797FB0"/>
    <w:rsid w:val="27FA2704"/>
    <w:rsid w:val="2F0106CB"/>
    <w:rsid w:val="2FCE62DD"/>
    <w:rsid w:val="47AF2F63"/>
    <w:rsid w:val="4E186BEC"/>
    <w:rsid w:val="5C420709"/>
    <w:rsid w:val="5F9F5C4C"/>
    <w:rsid w:val="63CB0DBE"/>
    <w:rsid w:val="716F0EE9"/>
    <w:rsid w:val="73BEF413"/>
    <w:rsid w:val="78E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9B07E7-2754-4EE5-84D7-DCB62B74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autoRedefine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4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autoRedefine/>
    <w:qFormat/>
    <w:rPr>
      <w:b/>
    </w:rPr>
  </w:style>
  <w:style w:type="character" w:styleId="a7">
    <w:name w:val="Hyperlink"/>
    <w:basedOn w:val="a0"/>
    <w:autoRedefine/>
    <w:qFormat/>
    <w:rPr>
      <w:color w:val="0000FF"/>
      <w:u w:val="single"/>
    </w:rPr>
  </w:style>
  <w:style w:type="character" w:customStyle="1" w:styleId="font71">
    <w:name w:val="font71"/>
    <w:basedOn w:val="a0"/>
    <w:autoRedefine/>
    <w:qFormat/>
    <w:rPr>
      <w:rFonts w:ascii="Times New Roman" w:eastAsia="楷体_GB2312" w:cs="楷体_GB2312" w:hint="eastAsia"/>
      <w:sz w:val="21"/>
      <w:szCs w:val="21"/>
    </w:rPr>
  </w:style>
  <w:style w:type="character" w:customStyle="1" w:styleId="NormalCharacter">
    <w:name w:val="NormalCharacter"/>
    <w:autoRedefine/>
    <w:semiHidden/>
    <w:qFormat/>
  </w:style>
  <w:style w:type="paragraph" w:styleId="a8">
    <w:name w:val="header"/>
    <w:basedOn w:val="a"/>
    <w:link w:val="Char"/>
    <w:rsid w:val="00EC5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C5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EC5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EC52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</dc:creator>
  <cp:lastModifiedBy>Administrator</cp:lastModifiedBy>
  <cp:revision>2</cp:revision>
  <cp:lastPrinted>2024-04-10T09:06:00Z</cp:lastPrinted>
  <dcterms:created xsi:type="dcterms:W3CDTF">2014-10-29T20:08:00Z</dcterms:created>
  <dcterms:modified xsi:type="dcterms:W3CDTF">2024-04-11T07:15:00Z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D9D9F096E1D34C90AB38B72AAAD4F466_12</vt:lpwstr>
  </property>
</Properties>
</file>